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49E9" w14:textId="77777777" w:rsidR="00EA79E3" w:rsidRPr="008257E4" w:rsidRDefault="00EA79E3" w:rsidP="00417A26">
      <w:pPr>
        <w:pStyle w:val="Default"/>
        <w:jc w:val="center"/>
        <w:rPr>
          <w:b/>
          <w:smallCaps/>
          <w:color w:val="auto"/>
        </w:rPr>
      </w:pPr>
      <w:r w:rsidRPr="008257E4">
        <w:rPr>
          <w:b/>
          <w:smallCaps/>
          <w:color w:val="auto"/>
        </w:rPr>
        <w:t>APPOINTMENT GUIDELINES</w:t>
      </w:r>
    </w:p>
    <w:p w14:paraId="4A0B3ADF" w14:textId="77777777" w:rsidR="00EA79E3" w:rsidRPr="008257E4" w:rsidRDefault="00EA79E3" w:rsidP="00417A26">
      <w:pPr>
        <w:pStyle w:val="Default"/>
        <w:jc w:val="center"/>
        <w:rPr>
          <w:b/>
          <w:iCs/>
          <w:color w:val="auto"/>
        </w:rPr>
      </w:pPr>
      <w:r w:rsidRPr="008257E4">
        <w:rPr>
          <w:b/>
          <w:iCs/>
          <w:color w:val="auto"/>
        </w:rPr>
        <w:t xml:space="preserve">Volunteer Clinical Faculty </w:t>
      </w:r>
    </w:p>
    <w:p w14:paraId="2BDE64F0" w14:textId="77777777" w:rsidR="00EA79E3" w:rsidRPr="003C600D" w:rsidRDefault="00EA79E3" w:rsidP="00AA6012">
      <w:pPr>
        <w:pStyle w:val="Default"/>
        <w:rPr>
          <w:b/>
          <w:color w:val="auto"/>
          <w:u w:val="double"/>
        </w:rPr>
      </w:pPr>
    </w:p>
    <w:p w14:paraId="0DD3228F" w14:textId="77777777" w:rsidR="00EA79E3" w:rsidRPr="003C600D" w:rsidRDefault="00EA79E3" w:rsidP="003C600D">
      <w:pPr>
        <w:autoSpaceDE w:val="0"/>
        <w:autoSpaceDN w:val="0"/>
        <w:adjustRightInd w:val="0"/>
        <w:spacing w:after="0" w:line="240" w:lineRule="auto"/>
        <w:rPr>
          <w:rFonts w:ascii="Arial" w:hAnsi="Arial" w:cs="Arial"/>
          <w:sz w:val="24"/>
          <w:szCs w:val="24"/>
        </w:rPr>
      </w:pPr>
      <w:r w:rsidRPr="003C600D">
        <w:rPr>
          <w:rFonts w:ascii="Arial" w:hAnsi="Arial" w:cs="Arial"/>
          <w:sz w:val="24"/>
          <w:szCs w:val="24"/>
        </w:rPr>
        <w:t>Appointees in the Clinical Professor series are community volunteer clinicians who teach the application of clinical and basic sciences in areas of patient care. These appointments constitute a valuable way to utilize the interest and expertise of practitioners from the community on a part-time unsalaried voluntary basis in the areas of teaching, patient care, and clinical research.</w:t>
      </w:r>
      <w:r>
        <w:rPr>
          <w:rFonts w:ascii="Arial" w:hAnsi="Arial" w:cs="Arial"/>
          <w:sz w:val="24"/>
          <w:szCs w:val="24"/>
        </w:rPr>
        <w:t xml:space="preserve"> </w:t>
      </w:r>
    </w:p>
    <w:p w14:paraId="77E1737B" w14:textId="77777777" w:rsidR="00EA79E3" w:rsidRDefault="00EA79E3" w:rsidP="00AA6012">
      <w:pPr>
        <w:pStyle w:val="Default"/>
        <w:rPr>
          <w:b/>
          <w:color w:val="auto"/>
          <w:u w:val="double"/>
        </w:rPr>
      </w:pPr>
    </w:p>
    <w:p w14:paraId="1F1823FB" w14:textId="77777777" w:rsidR="00EA79E3" w:rsidRPr="008257E4" w:rsidRDefault="00EA79E3" w:rsidP="00AA6012">
      <w:pPr>
        <w:pStyle w:val="Default"/>
        <w:rPr>
          <w:b/>
          <w:color w:val="auto"/>
          <w:u w:val="double"/>
        </w:rPr>
      </w:pPr>
      <w:r w:rsidRPr="008257E4">
        <w:rPr>
          <w:b/>
          <w:color w:val="auto"/>
          <w:u w:val="double"/>
        </w:rPr>
        <w:t>SERVICE REQUIREMENTS:</w:t>
      </w:r>
    </w:p>
    <w:p w14:paraId="7C29160B" w14:textId="77777777" w:rsidR="00EA79E3" w:rsidRPr="008257E4" w:rsidRDefault="00EA79E3" w:rsidP="00AA6012">
      <w:pPr>
        <w:pStyle w:val="Default"/>
        <w:rPr>
          <w:b/>
          <w:color w:val="auto"/>
          <w:u w:val="double"/>
        </w:rPr>
      </w:pPr>
    </w:p>
    <w:p w14:paraId="4F3F973C" w14:textId="77777777" w:rsidR="00EA79E3" w:rsidRPr="008257E4" w:rsidRDefault="00EA79E3" w:rsidP="00AA6012">
      <w:pPr>
        <w:pStyle w:val="Default"/>
        <w:rPr>
          <w:color w:val="auto"/>
        </w:rPr>
      </w:pPr>
      <w:r w:rsidRPr="008257E4">
        <w:rPr>
          <w:color w:val="auto"/>
        </w:rPr>
        <w:t xml:space="preserve">The </w:t>
      </w:r>
      <w:smartTag w:uri="urn:schemas-microsoft-com:office:smarttags" w:element="place">
        <w:smartTag w:uri="urn:schemas-microsoft-com:office:smarttags" w:element="PlaceType">
          <w:r w:rsidRPr="008257E4">
            <w:rPr>
              <w:color w:val="auto"/>
            </w:rPr>
            <w:t>School</w:t>
          </w:r>
        </w:smartTag>
        <w:r w:rsidRPr="008257E4">
          <w:rPr>
            <w:color w:val="auto"/>
          </w:rPr>
          <w:t xml:space="preserve"> of </w:t>
        </w:r>
        <w:smartTag w:uri="urn:schemas-microsoft-com:office:smarttags" w:element="PlaceName">
          <w:r w:rsidRPr="008257E4">
            <w:rPr>
              <w:color w:val="auto"/>
            </w:rPr>
            <w:t>Medicine</w:t>
          </w:r>
        </w:smartTag>
      </w:smartTag>
      <w:r w:rsidRPr="008257E4">
        <w:rPr>
          <w:color w:val="auto"/>
        </w:rPr>
        <w:t xml:space="preserve"> at UC Irvine requires a minimum of 75 hours of teaching per year for appointment at any rank in the Volunteer Clinical series. At the request of the Department Chair, exceptional service may be substituted for some but not all of the teaching requirement.</w:t>
      </w:r>
    </w:p>
    <w:p w14:paraId="5599C0B9" w14:textId="77777777" w:rsidR="00EA79E3" w:rsidRPr="008257E4" w:rsidRDefault="00EA79E3" w:rsidP="00417A26">
      <w:pPr>
        <w:pStyle w:val="Default"/>
        <w:jc w:val="center"/>
        <w:rPr>
          <w:u w:val="double"/>
        </w:rPr>
      </w:pPr>
    </w:p>
    <w:p w14:paraId="06835094" w14:textId="77777777" w:rsidR="00EA79E3" w:rsidRPr="008257E4" w:rsidRDefault="00EA79E3" w:rsidP="00417A26">
      <w:pPr>
        <w:pStyle w:val="Default"/>
        <w:rPr>
          <w:b/>
          <w:bCs/>
          <w:u w:val="double"/>
        </w:rPr>
      </w:pPr>
      <w:r w:rsidRPr="008257E4">
        <w:rPr>
          <w:b/>
          <w:bCs/>
          <w:u w:val="double"/>
        </w:rPr>
        <w:t xml:space="preserve">CLINICAL INSTRUCTOR: </w:t>
      </w:r>
    </w:p>
    <w:p w14:paraId="76B6E94C" w14:textId="77777777" w:rsidR="00EA79E3" w:rsidRPr="008257E4" w:rsidRDefault="00EA79E3" w:rsidP="00417A26">
      <w:pPr>
        <w:pStyle w:val="Default"/>
        <w:rPr>
          <w:u w:val="single"/>
        </w:rPr>
      </w:pPr>
    </w:p>
    <w:p w14:paraId="6220F6E7" w14:textId="77777777" w:rsidR="00EA79E3" w:rsidRPr="008257E4" w:rsidRDefault="00EA79E3" w:rsidP="00417A26">
      <w:pPr>
        <w:pStyle w:val="Default"/>
        <w:rPr>
          <w:bCs/>
          <w:i/>
          <w:iCs/>
        </w:rPr>
      </w:pPr>
      <w:r w:rsidRPr="008257E4">
        <w:rPr>
          <w:bCs/>
        </w:rPr>
        <w:t xml:space="preserve">This level is to be used for fellows in training or </w:t>
      </w:r>
      <w:r w:rsidRPr="008257E4">
        <w:rPr>
          <w:bCs/>
          <w:iCs/>
        </w:rPr>
        <w:t>recent graduates with no fellowship or teaching experience/less than one year out of residency training.</w:t>
      </w:r>
      <w:r w:rsidRPr="008257E4">
        <w:rPr>
          <w:bCs/>
          <w:i/>
          <w:iCs/>
        </w:rPr>
        <w:t xml:space="preserve"> </w:t>
      </w:r>
    </w:p>
    <w:p w14:paraId="25ACE425" w14:textId="77777777" w:rsidR="00EA79E3" w:rsidRPr="008257E4" w:rsidRDefault="00EA79E3" w:rsidP="00417A26">
      <w:pPr>
        <w:pStyle w:val="Default"/>
      </w:pPr>
    </w:p>
    <w:p w14:paraId="74B92C51" w14:textId="77777777" w:rsidR="00EA79E3" w:rsidRPr="008257E4" w:rsidRDefault="00EA79E3" w:rsidP="00417A26">
      <w:pPr>
        <w:pStyle w:val="Default"/>
      </w:pPr>
      <w:r w:rsidRPr="008257E4">
        <w:rPr>
          <w:b/>
          <w:bCs/>
        </w:rPr>
        <w:t xml:space="preserve">Board eligibility: </w:t>
      </w:r>
      <w:r>
        <w:rPr>
          <w:b/>
          <w:bCs/>
        </w:rPr>
        <w:t xml:space="preserve"> </w:t>
      </w:r>
      <w:r>
        <w:t>S</w:t>
      </w:r>
      <w:r w:rsidRPr="008257E4">
        <w:t>uccessful completion of an accredited resi</w:t>
      </w:r>
      <w:r>
        <w:t xml:space="preserve">dency program in his/her field.  </w:t>
      </w:r>
      <w:r w:rsidRPr="008257E4">
        <w:t xml:space="preserve">Time in rank at Instructor level with the exception of time spent in formal fellowship training counts as a part of the 6-10 year teaching requirement for promotion from Assistant to Associate Clinical Professor. </w:t>
      </w:r>
      <w:r w:rsidRPr="008257E4">
        <w:rPr>
          <w:iCs/>
        </w:rPr>
        <w:t xml:space="preserve">Normal time in Clinical Instructor rank is 2 years. </w:t>
      </w:r>
    </w:p>
    <w:p w14:paraId="7EE60733" w14:textId="77777777" w:rsidR="00EA79E3" w:rsidRPr="008257E4" w:rsidRDefault="00EA79E3" w:rsidP="00417A26">
      <w:pPr>
        <w:pStyle w:val="Default"/>
      </w:pPr>
    </w:p>
    <w:p w14:paraId="59AF1F65" w14:textId="77777777" w:rsidR="00EA79E3" w:rsidRPr="008257E4" w:rsidRDefault="00EA79E3" w:rsidP="00417A26">
      <w:pPr>
        <w:pStyle w:val="Default"/>
        <w:rPr>
          <w:b/>
          <w:bCs/>
          <w:u w:val="double"/>
        </w:rPr>
      </w:pPr>
      <w:r w:rsidRPr="008257E4">
        <w:rPr>
          <w:b/>
          <w:bCs/>
          <w:u w:val="double"/>
        </w:rPr>
        <w:t xml:space="preserve">ASSISTANT CLINICAL PROFESSOR: </w:t>
      </w:r>
    </w:p>
    <w:p w14:paraId="2E5446E0" w14:textId="77777777" w:rsidR="00EA79E3" w:rsidRDefault="00EA79E3" w:rsidP="00417A26">
      <w:pPr>
        <w:pStyle w:val="Default"/>
        <w:rPr>
          <w:bCs/>
        </w:rPr>
      </w:pPr>
    </w:p>
    <w:p w14:paraId="722FC967" w14:textId="77777777" w:rsidR="00EA79E3" w:rsidRPr="008257E4" w:rsidRDefault="00EA79E3" w:rsidP="00417A26">
      <w:pPr>
        <w:pStyle w:val="Default"/>
        <w:rPr>
          <w:bCs/>
        </w:rPr>
      </w:pPr>
      <w:r w:rsidRPr="008257E4">
        <w:rPr>
          <w:bCs/>
        </w:rPr>
        <w:t xml:space="preserve">This level is to be used as normal entry level. </w:t>
      </w:r>
    </w:p>
    <w:p w14:paraId="2E4E5FF1" w14:textId="77777777" w:rsidR="00EA79E3" w:rsidRPr="008257E4" w:rsidRDefault="00EA79E3" w:rsidP="00417A26">
      <w:pPr>
        <w:pStyle w:val="Default"/>
      </w:pPr>
    </w:p>
    <w:p w14:paraId="0FC36D35" w14:textId="77777777" w:rsidR="00EA79E3" w:rsidRPr="008257E4" w:rsidRDefault="00EA79E3" w:rsidP="00417A26">
      <w:pPr>
        <w:pStyle w:val="Default"/>
      </w:pPr>
      <w:r w:rsidRPr="008257E4">
        <w:rPr>
          <w:b/>
          <w:bCs/>
        </w:rPr>
        <w:t xml:space="preserve">Board Eligibility: </w:t>
      </w:r>
      <w:r>
        <w:t>S</w:t>
      </w:r>
      <w:r w:rsidRPr="008257E4">
        <w:t>uccessful completion of an accredited residency</w:t>
      </w:r>
      <w:r>
        <w:t xml:space="preserve"> program in his/her field.  </w:t>
      </w:r>
      <w:r w:rsidRPr="008257E4">
        <w:t xml:space="preserve">Note: This level does not require board certification but does require board eligibility. </w:t>
      </w:r>
    </w:p>
    <w:p w14:paraId="574136C3" w14:textId="77777777" w:rsidR="00EA79E3" w:rsidRPr="008257E4" w:rsidRDefault="00EA79E3" w:rsidP="00417A26">
      <w:pPr>
        <w:pStyle w:val="Default"/>
      </w:pPr>
    </w:p>
    <w:p w14:paraId="7BDEACA1" w14:textId="77777777" w:rsidR="00EA79E3" w:rsidRPr="008257E4" w:rsidRDefault="00EA79E3" w:rsidP="00417A26">
      <w:pPr>
        <w:pStyle w:val="Default"/>
      </w:pPr>
      <w:r w:rsidRPr="008257E4">
        <w:rPr>
          <w:b/>
          <w:bCs/>
        </w:rPr>
        <w:t>Teaching Experience:</w:t>
      </w:r>
      <w:r>
        <w:rPr>
          <w:b/>
          <w:bCs/>
        </w:rPr>
        <w:t xml:space="preserve"> </w:t>
      </w:r>
      <w:r w:rsidRPr="008257E4">
        <w:t xml:space="preserve">Two years of </w:t>
      </w:r>
      <w:smartTag w:uri="urn:schemas-microsoft-com:office:smarttags" w:element="place">
        <w:smartTag w:uri="urn:schemas-microsoft-com:office:smarttags" w:element="PlaceName">
          <w:r w:rsidRPr="008257E4">
            <w:t>Medical</w:t>
          </w:r>
        </w:smartTag>
        <w:r w:rsidRPr="008257E4">
          <w:t xml:space="preserve"> </w:t>
        </w:r>
        <w:smartTag w:uri="urn:schemas-microsoft-com:office:smarttags" w:element="PlaceType">
          <w:r w:rsidRPr="008257E4">
            <w:t>School</w:t>
          </w:r>
        </w:smartTag>
      </w:smartTag>
      <w:r w:rsidRPr="008257E4">
        <w:t xml:space="preserve"> teaching experience is preferred; It is required that there is some teaching experience. Teaching experience acquired during fellowship training may be counted. In addition, in departments that have longer residency training requirements, i.e. surgery, the higher level residents would have equivalent teaching experience. If there is no teaching experience, the entry level should be Clinical Instructor. </w:t>
      </w:r>
    </w:p>
    <w:p w14:paraId="28919BDE" w14:textId="77777777" w:rsidR="00EA79E3" w:rsidRDefault="00EA79E3" w:rsidP="00417A26">
      <w:pPr>
        <w:pStyle w:val="Default"/>
      </w:pPr>
    </w:p>
    <w:p w14:paraId="75156564" w14:textId="77777777" w:rsidR="00EA79E3" w:rsidRPr="008257E4" w:rsidRDefault="00EA79E3" w:rsidP="00417A26">
      <w:pPr>
        <w:pStyle w:val="Default"/>
      </w:pPr>
      <w:r w:rsidRPr="008257E4">
        <w:t>Fellowship training beyond board requirements, scholarly achievement in the form of publications and prominence in scientific societies may be considere</w:t>
      </w:r>
      <w:r w:rsidRPr="006F598B">
        <w:t xml:space="preserve">d </w:t>
      </w:r>
      <w:r w:rsidRPr="006F598B">
        <w:rPr>
          <w:iCs/>
        </w:rPr>
        <w:t>in lieu</w:t>
      </w:r>
      <w:r w:rsidRPr="008257E4">
        <w:rPr>
          <w:i/>
          <w:iCs/>
        </w:rPr>
        <w:t xml:space="preserve"> </w:t>
      </w:r>
      <w:r w:rsidRPr="008257E4">
        <w:t xml:space="preserve">of board certification/teaching experience. </w:t>
      </w:r>
    </w:p>
    <w:p w14:paraId="50DFB40C" w14:textId="77777777" w:rsidR="00EA79E3" w:rsidRPr="008257E4" w:rsidRDefault="00EA79E3" w:rsidP="00417A26">
      <w:pPr>
        <w:pStyle w:val="Default"/>
      </w:pPr>
    </w:p>
    <w:p w14:paraId="310B20FA" w14:textId="77777777" w:rsidR="00EA79E3" w:rsidRPr="008257E4" w:rsidRDefault="00EA79E3" w:rsidP="00417A26">
      <w:pPr>
        <w:pStyle w:val="Default"/>
        <w:rPr>
          <w:b/>
          <w:bCs/>
          <w:u w:val="double"/>
        </w:rPr>
      </w:pPr>
      <w:r w:rsidRPr="008257E4">
        <w:rPr>
          <w:b/>
          <w:bCs/>
          <w:u w:val="double"/>
        </w:rPr>
        <w:t xml:space="preserve">ASSOCIATE CLINICAL PROFESSOR: </w:t>
      </w:r>
    </w:p>
    <w:p w14:paraId="12FCF0E3" w14:textId="77777777" w:rsidR="00EA79E3" w:rsidRPr="008257E4" w:rsidRDefault="00EA79E3" w:rsidP="00417A26">
      <w:pPr>
        <w:pStyle w:val="Default"/>
      </w:pPr>
    </w:p>
    <w:p w14:paraId="0CB1F4AF" w14:textId="77777777" w:rsidR="00EA79E3" w:rsidRPr="008257E4" w:rsidRDefault="00EA79E3" w:rsidP="00417A26">
      <w:pPr>
        <w:pStyle w:val="Default"/>
      </w:pPr>
      <w:r w:rsidRPr="008257E4">
        <w:rPr>
          <w:b/>
          <w:bCs/>
        </w:rPr>
        <w:t xml:space="preserve">Board Certification: </w:t>
      </w:r>
      <w:r>
        <w:t xml:space="preserve"> Board certification is expected but m</w:t>
      </w:r>
      <w:r w:rsidRPr="008257E4">
        <w:t xml:space="preserve">ay be waived in exceptional cases, where teaching experience, publications, and special qualities warrant appointment/ promotion to this rank </w:t>
      </w:r>
    </w:p>
    <w:p w14:paraId="2204843D" w14:textId="77777777" w:rsidR="00EA79E3" w:rsidRPr="008257E4" w:rsidRDefault="00EA79E3" w:rsidP="00417A26">
      <w:pPr>
        <w:pStyle w:val="Default"/>
      </w:pPr>
    </w:p>
    <w:p w14:paraId="2251E783" w14:textId="77777777" w:rsidR="00EA79E3" w:rsidRPr="008257E4" w:rsidRDefault="00EA79E3" w:rsidP="00417A26">
      <w:pPr>
        <w:pStyle w:val="Default"/>
      </w:pPr>
      <w:r w:rsidRPr="008257E4">
        <w:rPr>
          <w:b/>
          <w:bCs/>
        </w:rPr>
        <w:t xml:space="preserve">Teaching Experience: </w:t>
      </w:r>
      <w:r w:rsidRPr="008257E4">
        <w:t>Six to ten years teaching experience at the Assistant Clinical Professor level on a medical school faculty</w:t>
      </w:r>
      <w:r>
        <w:t>.</w:t>
      </w:r>
      <w:r w:rsidRPr="008257E4">
        <w:t xml:space="preserve"> </w:t>
      </w:r>
    </w:p>
    <w:p w14:paraId="3B2B4DC7" w14:textId="77777777" w:rsidR="00EA79E3" w:rsidRPr="008257E4" w:rsidRDefault="00EA79E3" w:rsidP="00417A26">
      <w:pPr>
        <w:pStyle w:val="Default"/>
        <w:rPr>
          <w:color w:val="auto"/>
        </w:rPr>
      </w:pPr>
    </w:p>
    <w:p w14:paraId="0753A62F" w14:textId="77777777" w:rsidR="00EA79E3" w:rsidRPr="006F598B" w:rsidRDefault="00EA79E3" w:rsidP="00417A26">
      <w:pPr>
        <w:pStyle w:val="Default"/>
        <w:rPr>
          <w:color w:val="auto"/>
        </w:rPr>
      </w:pPr>
      <w:r w:rsidRPr="008257E4">
        <w:rPr>
          <w:color w:val="auto"/>
        </w:rPr>
        <w:t xml:space="preserve">Accelerated promotion </w:t>
      </w:r>
      <w:r>
        <w:rPr>
          <w:color w:val="auto"/>
        </w:rPr>
        <w:t xml:space="preserve">to Associate Clinical Professor </w:t>
      </w:r>
      <w:r w:rsidRPr="008257E4">
        <w:rPr>
          <w:color w:val="auto"/>
        </w:rPr>
        <w:t xml:space="preserve">is possible based on the recommendation of the department chair. </w:t>
      </w:r>
      <w:r>
        <w:rPr>
          <w:iCs/>
          <w:color w:val="auto"/>
        </w:rPr>
        <w:t>Scholarly a</w:t>
      </w:r>
      <w:r w:rsidRPr="008257E4">
        <w:rPr>
          <w:iCs/>
          <w:color w:val="auto"/>
        </w:rPr>
        <w:t xml:space="preserve">chievement in the form of publications, prominence in scientific societies, professional prestige in the community and/or participation in state or national medical </w:t>
      </w:r>
      <w:r w:rsidRPr="008257E4">
        <w:rPr>
          <w:iCs/>
          <w:color w:val="auto"/>
        </w:rPr>
        <w:lastRenderedPageBreak/>
        <w:t>organizations may be considered in lieu of, or in combination with suggested years of teaching experience</w:t>
      </w:r>
      <w:r w:rsidRPr="008257E4">
        <w:rPr>
          <w:color w:val="auto"/>
        </w:rPr>
        <w:t>.</w:t>
      </w:r>
      <w:r w:rsidRPr="008257E4">
        <w:t xml:space="preserve"> </w:t>
      </w:r>
    </w:p>
    <w:p w14:paraId="2F1B1937" w14:textId="77777777" w:rsidR="00EA79E3" w:rsidRPr="008257E4" w:rsidRDefault="00EA79E3" w:rsidP="00417A26">
      <w:pPr>
        <w:pStyle w:val="Default"/>
      </w:pPr>
    </w:p>
    <w:p w14:paraId="3DA3190A" w14:textId="77777777" w:rsidR="00EA79E3" w:rsidRPr="008257E4" w:rsidRDefault="00EA79E3" w:rsidP="00417A26">
      <w:pPr>
        <w:pStyle w:val="Default"/>
        <w:rPr>
          <w:b/>
          <w:bCs/>
          <w:u w:val="double"/>
        </w:rPr>
      </w:pPr>
      <w:r w:rsidRPr="008257E4">
        <w:rPr>
          <w:b/>
          <w:bCs/>
          <w:u w:val="double"/>
        </w:rPr>
        <w:t xml:space="preserve">CLINICAL PROFESSOR: </w:t>
      </w:r>
    </w:p>
    <w:p w14:paraId="3504681B" w14:textId="77777777" w:rsidR="00EA79E3" w:rsidRPr="008257E4" w:rsidRDefault="00EA79E3" w:rsidP="00417A26">
      <w:pPr>
        <w:pStyle w:val="Default"/>
        <w:rPr>
          <w:u w:val="single"/>
        </w:rPr>
      </w:pPr>
    </w:p>
    <w:p w14:paraId="051A94A0" w14:textId="77777777" w:rsidR="00EA79E3" w:rsidRPr="008257E4" w:rsidRDefault="00EA79E3" w:rsidP="00417A26">
      <w:pPr>
        <w:pStyle w:val="Default"/>
      </w:pPr>
      <w:r w:rsidRPr="008257E4">
        <w:rPr>
          <w:b/>
          <w:bCs/>
        </w:rPr>
        <w:t xml:space="preserve">Board Certification: </w:t>
      </w:r>
      <w:r>
        <w:t>Board certification is expected but m</w:t>
      </w:r>
      <w:r w:rsidRPr="008257E4">
        <w:t xml:space="preserve">ay be waived in </w:t>
      </w:r>
      <w:r w:rsidRPr="006F598B">
        <w:rPr>
          <w:iCs/>
        </w:rPr>
        <w:t>exceptional cases</w:t>
      </w:r>
      <w:r w:rsidRPr="006F598B">
        <w:rPr>
          <w:i/>
          <w:iCs/>
        </w:rPr>
        <w:t xml:space="preserve"> </w:t>
      </w:r>
      <w:r w:rsidRPr="008257E4">
        <w:t xml:space="preserve">where teaching experience, publications, and special qualities warrant appointment/promotion at this rank </w:t>
      </w:r>
    </w:p>
    <w:p w14:paraId="67C4762B" w14:textId="77777777" w:rsidR="00EA79E3" w:rsidRPr="008257E4" w:rsidRDefault="00EA79E3" w:rsidP="00417A26">
      <w:pPr>
        <w:pStyle w:val="Default"/>
      </w:pPr>
    </w:p>
    <w:p w14:paraId="76F64ABA" w14:textId="77777777" w:rsidR="00EA79E3" w:rsidRDefault="00EA79E3" w:rsidP="00417A26">
      <w:pPr>
        <w:pStyle w:val="Default"/>
      </w:pPr>
      <w:r w:rsidRPr="008257E4">
        <w:rPr>
          <w:b/>
          <w:bCs/>
        </w:rPr>
        <w:t xml:space="preserve">Teaching Experience: </w:t>
      </w:r>
      <w:r w:rsidRPr="008257E4">
        <w:t xml:space="preserve">Six to ten years teaching experience at the Associate Professor Level on a medical school faculty </w:t>
      </w:r>
    </w:p>
    <w:p w14:paraId="619DAC1E" w14:textId="77777777" w:rsidR="00EA79E3" w:rsidRPr="008257E4" w:rsidRDefault="00EA79E3" w:rsidP="00417A26">
      <w:pPr>
        <w:pStyle w:val="Default"/>
      </w:pPr>
    </w:p>
    <w:p w14:paraId="78E0E020" w14:textId="77777777" w:rsidR="00EA79E3" w:rsidRPr="008257E4" w:rsidRDefault="00EA79E3" w:rsidP="00417A26">
      <w:pPr>
        <w:pStyle w:val="Default"/>
        <w:rPr>
          <w:iCs/>
        </w:rPr>
      </w:pPr>
      <w:r>
        <w:rPr>
          <w:iCs/>
        </w:rPr>
        <w:t>Scholarly a</w:t>
      </w:r>
      <w:r w:rsidRPr="008257E4">
        <w:rPr>
          <w:iCs/>
        </w:rPr>
        <w:t xml:space="preserve">chievement in the form of publications, prominence in scientific societies, professional prestige in the community and/or participation in state or national medical organizations may be considered in lieu of, or in combination with suggested years of teaching experience. </w:t>
      </w:r>
    </w:p>
    <w:p w14:paraId="660314AC" w14:textId="77777777" w:rsidR="00EA79E3" w:rsidRPr="008257E4" w:rsidRDefault="00EA79E3" w:rsidP="00417A26">
      <w:pPr>
        <w:pStyle w:val="Default"/>
        <w:rPr>
          <w:b/>
          <w:bCs/>
        </w:rPr>
      </w:pPr>
    </w:p>
    <w:p w14:paraId="1F3CFDCD" w14:textId="77777777" w:rsidR="00EA79E3" w:rsidRDefault="00EA79E3" w:rsidP="00417A26">
      <w:pPr>
        <w:pStyle w:val="Default"/>
        <w:rPr>
          <w:bCs/>
        </w:rPr>
      </w:pPr>
      <w:r w:rsidRPr="008257E4">
        <w:rPr>
          <w:bCs/>
        </w:rPr>
        <w:t xml:space="preserve">National recognition as a result of professional endeavors </w:t>
      </w:r>
      <w:r>
        <w:rPr>
          <w:bCs/>
        </w:rPr>
        <w:t xml:space="preserve">also </w:t>
      </w:r>
      <w:r w:rsidRPr="008257E4">
        <w:rPr>
          <w:bCs/>
        </w:rPr>
        <w:t xml:space="preserve">may be considered in lieu of or in combination with years of teaching. </w:t>
      </w:r>
    </w:p>
    <w:p w14:paraId="01E169DC" w14:textId="77777777" w:rsidR="00EA79E3" w:rsidRDefault="00EA79E3" w:rsidP="00417A26">
      <w:pPr>
        <w:pStyle w:val="Default"/>
        <w:rPr>
          <w:color w:val="auto"/>
        </w:rPr>
      </w:pPr>
    </w:p>
    <w:p w14:paraId="3FA6BBDE" w14:textId="77777777" w:rsidR="00EA79E3" w:rsidRDefault="00EA79E3" w:rsidP="00417A26">
      <w:pPr>
        <w:pStyle w:val="Default"/>
        <w:rPr>
          <w:bCs/>
        </w:rPr>
      </w:pPr>
      <w:r w:rsidRPr="008257E4">
        <w:rPr>
          <w:color w:val="auto"/>
        </w:rPr>
        <w:t xml:space="preserve">Accelerated promotion </w:t>
      </w:r>
      <w:r>
        <w:rPr>
          <w:color w:val="auto"/>
        </w:rPr>
        <w:t xml:space="preserve">to Clinical Professor </w:t>
      </w:r>
      <w:r w:rsidRPr="008257E4">
        <w:rPr>
          <w:color w:val="auto"/>
        </w:rPr>
        <w:t xml:space="preserve">is possible based on the recommendation of the department chair. </w:t>
      </w:r>
      <w:r>
        <w:rPr>
          <w:iCs/>
          <w:color w:val="auto"/>
        </w:rPr>
        <w:t>Scholarly a</w:t>
      </w:r>
      <w:r w:rsidRPr="008257E4">
        <w:rPr>
          <w:iCs/>
          <w:color w:val="auto"/>
        </w:rPr>
        <w:t>chievement in the form of publications, prominence in scientific societies, professional prestige in the community and/or participation in state or national medical organizations may be considered in lieu of, or in combination with suggested years of teaching experience</w:t>
      </w:r>
      <w:r w:rsidRPr="008257E4">
        <w:rPr>
          <w:color w:val="auto"/>
        </w:rPr>
        <w:t>.</w:t>
      </w:r>
    </w:p>
    <w:p w14:paraId="7A820E29" w14:textId="77777777" w:rsidR="00EA79E3" w:rsidRPr="008257E4" w:rsidRDefault="00EA79E3" w:rsidP="00417A26">
      <w:pPr>
        <w:pStyle w:val="Default"/>
        <w:rPr>
          <w:bCs/>
        </w:rPr>
      </w:pPr>
    </w:p>
    <w:p w14:paraId="6A663BEB" w14:textId="77777777" w:rsidR="00EA79E3" w:rsidRPr="008257E4" w:rsidRDefault="00EA79E3" w:rsidP="00417A26">
      <w:pPr>
        <w:pStyle w:val="Default"/>
      </w:pPr>
    </w:p>
    <w:p w14:paraId="6F159E7B" w14:textId="77777777" w:rsidR="00EA79E3" w:rsidRPr="008257E4" w:rsidRDefault="00EA79E3" w:rsidP="00417A26">
      <w:pPr>
        <w:pStyle w:val="Default"/>
        <w:rPr>
          <w:u w:val="double"/>
        </w:rPr>
      </w:pPr>
      <w:r w:rsidRPr="008257E4">
        <w:rPr>
          <w:b/>
          <w:bCs/>
          <w:u w:val="double"/>
        </w:rPr>
        <w:t>GUIDELINES FOR NON PHYSICIANS</w:t>
      </w:r>
      <w:r w:rsidRPr="008257E4">
        <w:rPr>
          <w:u w:val="double"/>
        </w:rPr>
        <w:t xml:space="preserve">: </w:t>
      </w:r>
    </w:p>
    <w:p w14:paraId="2B6DB50B" w14:textId="77777777" w:rsidR="00EA79E3" w:rsidRPr="008257E4" w:rsidRDefault="00EA79E3" w:rsidP="00417A26">
      <w:pPr>
        <w:pStyle w:val="Default"/>
        <w:rPr>
          <w:u w:val="double"/>
        </w:rPr>
      </w:pPr>
    </w:p>
    <w:p w14:paraId="2AC73140" w14:textId="77777777" w:rsidR="00EA79E3" w:rsidRDefault="00EA79E3" w:rsidP="00417A26">
      <w:pPr>
        <w:pStyle w:val="Default"/>
      </w:pPr>
      <w:r>
        <w:t>Non physicians (ie, psychologists) may be appointed in this series. They should possess the r</w:t>
      </w:r>
      <w:r w:rsidRPr="008257E4">
        <w:t>ecognized terminal (most</w:t>
      </w:r>
      <w:r>
        <w:t xml:space="preserve"> advanced) degree in the field, a </w:t>
      </w:r>
      <w:r w:rsidRPr="008257E4">
        <w:t>s</w:t>
      </w:r>
      <w:r>
        <w:t xml:space="preserve">tate license to practice in the field, and </w:t>
      </w:r>
      <w:r w:rsidRPr="008257E4">
        <w:t xml:space="preserve">certification or registration by </w:t>
      </w:r>
      <w:r>
        <w:t xml:space="preserve">a national society when </w:t>
      </w:r>
      <w:r w:rsidRPr="008257E4">
        <w:t>available</w:t>
      </w:r>
      <w:r>
        <w:t xml:space="preserve">. Service requirements are the same as those for physicians.  </w:t>
      </w:r>
    </w:p>
    <w:p w14:paraId="36B93E51" w14:textId="77777777" w:rsidR="00EA79E3" w:rsidRDefault="00EA79E3" w:rsidP="00417A26">
      <w:pPr>
        <w:pStyle w:val="Default"/>
      </w:pPr>
    </w:p>
    <w:p w14:paraId="7B9869A3" w14:textId="77777777" w:rsidR="00EA79E3" w:rsidRPr="008257E4" w:rsidRDefault="00EA79E3" w:rsidP="00986C10">
      <w:pPr>
        <w:pStyle w:val="Footer"/>
        <w:rPr>
          <w:rFonts w:ascii="Arial" w:hAnsi="Arial" w:cs="Arial"/>
          <w:color w:val="A6A6A6"/>
          <w:sz w:val="24"/>
          <w:szCs w:val="24"/>
        </w:rPr>
      </w:pPr>
      <w:r w:rsidRPr="008257E4">
        <w:rPr>
          <w:rFonts w:ascii="Arial" w:hAnsi="Arial" w:cs="Arial"/>
          <w:color w:val="D9D9D9"/>
          <w:sz w:val="24"/>
          <w:szCs w:val="24"/>
        </w:rPr>
        <w:t xml:space="preserve">                                                                                                                                                                                  </w:t>
      </w:r>
    </w:p>
    <w:sectPr w:rsidR="00EA79E3" w:rsidRPr="008257E4" w:rsidSect="00351C8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C8B3" w14:textId="77777777" w:rsidR="00EA79E3" w:rsidRDefault="00EA79E3" w:rsidP="00C767F7">
      <w:pPr>
        <w:spacing w:after="0" w:line="240" w:lineRule="auto"/>
      </w:pPr>
      <w:r>
        <w:separator/>
      </w:r>
    </w:p>
  </w:endnote>
  <w:endnote w:type="continuationSeparator" w:id="0">
    <w:p w14:paraId="53A24A6E" w14:textId="77777777" w:rsidR="00EA79E3" w:rsidRDefault="00EA79E3" w:rsidP="00C7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8841" w14:textId="77777777" w:rsidR="00EA79E3" w:rsidRDefault="00EA79E3">
    <w:pPr>
      <w:pStyle w:val="Footer"/>
    </w:pPr>
    <w:r>
      <w:t xml:space="preserve">                                                                                                                                                                                      Revised 6/2012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859B" w14:textId="77777777" w:rsidR="00EA79E3" w:rsidRDefault="00EA79E3" w:rsidP="00C767F7">
      <w:pPr>
        <w:spacing w:after="0" w:line="240" w:lineRule="auto"/>
      </w:pPr>
      <w:r>
        <w:separator/>
      </w:r>
    </w:p>
  </w:footnote>
  <w:footnote w:type="continuationSeparator" w:id="0">
    <w:p w14:paraId="5FCDC695" w14:textId="77777777" w:rsidR="00EA79E3" w:rsidRDefault="00EA79E3" w:rsidP="00C767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A26"/>
    <w:rsid w:val="001C0417"/>
    <w:rsid w:val="002C08AB"/>
    <w:rsid w:val="00343464"/>
    <w:rsid w:val="00351C82"/>
    <w:rsid w:val="003C2195"/>
    <w:rsid w:val="003C600D"/>
    <w:rsid w:val="00417A26"/>
    <w:rsid w:val="0044280B"/>
    <w:rsid w:val="00485FFB"/>
    <w:rsid w:val="00497A86"/>
    <w:rsid w:val="004A3BA3"/>
    <w:rsid w:val="005909A8"/>
    <w:rsid w:val="005C4D5D"/>
    <w:rsid w:val="00644F20"/>
    <w:rsid w:val="00677833"/>
    <w:rsid w:val="006F598B"/>
    <w:rsid w:val="007848E3"/>
    <w:rsid w:val="008257E4"/>
    <w:rsid w:val="008807D9"/>
    <w:rsid w:val="008B7A9F"/>
    <w:rsid w:val="00986C10"/>
    <w:rsid w:val="00992386"/>
    <w:rsid w:val="00AA6012"/>
    <w:rsid w:val="00C767F7"/>
    <w:rsid w:val="00C85E30"/>
    <w:rsid w:val="00EA79E3"/>
    <w:rsid w:val="00F909AE"/>
    <w:rsid w:val="00FA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267CB35"/>
  <w15:docId w15:val="{6F82200E-4492-4DB3-9854-CF6731F9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17A2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rsid w:val="00C767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767F7"/>
    <w:rPr>
      <w:rFonts w:cs="Times New Roman"/>
    </w:rPr>
  </w:style>
  <w:style w:type="paragraph" w:styleId="Footer">
    <w:name w:val="footer"/>
    <w:basedOn w:val="Normal"/>
    <w:link w:val="FooterChar"/>
    <w:uiPriority w:val="99"/>
    <w:rsid w:val="00C767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67F7"/>
    <w:rPr>
      <w:rFonts w:cs="Times New Roman"/>
    </w:rPr>
  </w:style>
  <w:style w:type="paragraph" w:styleId="BalloonText">
    <w:name w:val="Balloon Text"/>
    <w:basedOn w:val="Normal"/>
    <w:link w:val="BalloonTextChar"/>
    <w:uiPriority w:val="99"/>
    <w:semiHidden/>
    <w:rsid w:val="00C76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6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4050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APPOINTMENT GUIDELINES</vt:lpstr>
    </vt:vector>
  </TitlesOfParts>
  <Company>HAIS</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GUIDELINES</dc:title>
  <dc:subject/>
  <dc:creator>Zamir, Shohreh</dc:creator>
  <cp:keywords/>
  <dc:description/>
  <cp:lastModifiedBy>Do, Rachel</cp:lastModifiedBy>
  <cp:revision>2</cp:revision>
  <cp:lastPrinted>2012-06-08T21:27:00Z</cp:lastPrinted>
  <dcterms:created xsi:type="dcterms:W3CDTF">2023-09-22T15:42:00Z</dcterms:created>
  <dcterms:modified xsi:type="dcterms:W3CDTF">2023-09-22T15:42:00Z</dcterms:modified>
</cp:coreProperties>
</file>